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598D" w14:textId="77777777" w:rsidR="00341926" w:rsidRDefault="00341926" w:rsidP="00341926">
      <w:pPr>
        <w:pStyle w:val="NoSpacing"/>
        <w:rPr>
          <w:b/>
          <w:sz w:val="22"/>
          <w:szCs w:val="22"/>
        </w:rPr>
      </w:pPr>
      <w:r w:rsidRPr="00C54BE4">
        <w:rPr>
          <w:b/>
          <w:sz w:val="22"/>
          <w:szCs w:val="22"/>
        </w:rPr>
        <w:t>Information Security Policy</w:t>
      </w:r>
    </w:p>
    <w:p w14:paraId="0AFB5742" w14:textId="77777777" w:rsidR="00341926" w:rsidRPr="00C54BE4" w:rsidRDefault="00341926" w:rsidP="00341926">
      <w:pPr>
        <w:pStyle w:val="NoSpacing"/>
        <w:rPr>
          <w:b/>
          <w:sz w:val="22"/>
          <w:szCs w:val="22"/>
        </w:rPr>
      </w:pPr>
    </w:p>
    <w:p w14:paraId="674F3B11" w14:textId="64AE5F23" w:rsidR="00341926" w:rsidRPr="00C54BE4" w:rsidRDefault="00341926" w:rsidP="00EF2249">
      <w:pPr>
        <w:pStyle w:val="NoSpacing"/>
        <w:jc w:val="left"/>
        <w:rPr>
          <w:sz w:val="22"/>
          <w:szCs w:val="22"/>
        </w:rPr>
      </w:pPr>
      <w:r w:rsidRPr="00C54BE4">
        <w:rPr>
          <w:sz w:val="22"/>
          <w:szCs w:val="22"/>
        </w:rPr>
        <w:t>The Information Security</w:t>
      </w:r>
      <w:r w:rsidR="00652B31">
        <w:rPr>
          <w:sz w:val="22"/>
          <w:szCs w:val="22"/>
        </w:rPr>
        <w:t xml:space="preserve"> P</w:t>
      </w:r>
      <w:r w:rsidRPr="00C54BE4">
        <w:rPr>
          <w:sz w:val="22"/>
          <w:szCs w:val="22"/>
        </w:rPr>
        <w:t>olicy has been</w:t>
      </w:r>
      <w:r w:rsidR="00652B31">
        <w:rPr>
          <w:sz w:val="22"/>
          <w:szCs w:val="22"/>
        </w:rPr>
        <w:t xml:space="preserve"> established by Manx Telecom</w:t>
      </w:r>
      <w:r w:rsidR="00A3282D">
        <w:rPr>
          <w:sz w:val="22"/>
          <w:szCs w:val="22"/>
        </w:rPr>
        <w:t xml:space="preserve"> </w:t>
      </w:r>
      <w:r w:rsidR="00F758E7">
        <w:rPr>
          <w:sz w:val="22"/>
          <w:szCs w:val="22"/>
        </w:rPr>
        <w:t xml:space="preserve">Trading Limited </w:t>
      </w:r>
      <w:r w:rsidR="00652B31">
        <w:rPr>
          <w:sz w:val="22"/>
          <w:szCs w:val="22"/>
        </w:rPr>
        <w:t>m</w:t>
      </w:r>
      <w:r w:rsidRPr="00C54BE4">
        <w:rPr>
          <w:sz w:val="22"/>
          <w:szCs w:val="22"/>
        </w:rPr>
        <w:t>anagement to support the strategic objectives of the business and is committed to continual improvement of the Informa</w:t>
      </w:r>
      <w:r w:rsidR="00652B31">
        <w:rPr>
          <w:sz w:val="22"/>
          <w:szCs w:val="22"/>
        </w:rPr>
        <w:t>tion Security Management System (ISMS).</w:t>
      </w:r>
    </w:p>
    <w:p w14:paraId="6599EEF0" w14:textId="77777777" w:rsidR="00341926" w:rsidRDefault="00341926" w:rsidP="00EF2249">
      <w:pPr>
        <w:pStyle w:val="NoSpacing"/>
        <w:jc w:val="left"/>
        <w:rPr>
          <w:sz w:val="22"/>
          <w:szCs w:val="22"/>
        </w:rPr>
      </w:pPr>
    </w:p>
    <w:p w14:paraId="5D705F60" w14:textId="0266AC09" w:rsidR="00341926" w:rsidRDefault="00341926" w:rsidP="00EF2249">
      <w:pPr>
        <w:pStyle w:val="NoSpacing"/>
        <w:jc w:val="left"/>
        <w:rPr>
          <w:sz w:val="22"/>
          <w:szCs w:val="22"/>
        </w:rPr>
      </w:pPr>
      <w:r w:rsidRPr="00C54BE4">
        <w:rPr>
          <w:sz w:val="22"/>
          <w:szCs w:val="22"/>
        </w:rPr>
        <w:t xml:space="preserve">The </w:t>
      </w:r>
      <w:r>
        <w:rPr>
          <w:sz w:val="22"/>
          <w:szCs w:val="22"/>
        </w:rPr>
        <w:t>primary goal is to protect Manx Telecom</w:t>
      </w:r>
      <w:r w:rsidR="007D733C">
        <w:rPr>
          <w:sz w:val="22"/>
          <w:szCs w:val="22"/>
        </w:rPr>
        <w:t xml:space="preserve"> </w:t>
      </w:r>
      <w:r w:rsidR="00F758E7">
        <w:rPr>
          <w:sz w:val="22"/>
          <w:szCs w:val="22"/>
        </w:rPr>
        <w:t xml:space="preserve">Trading </w:t>
      </w:r>
      <w:r w:rsidR="004C43F0">
        <w:rPr>
          <w:sz w:val="22"/>
          <w:szCs w:val="22"/>
        </w:rPr>
        <w:t>Limited</w:t>
      </w:r>
      <w:r>
        <w:rPr>
          <w:sz w:val="22"/>
          <w:szCs w:val="22"/>
        </w:rPr>
        <w:t xml:space="preserve"> information and minimise the exposure to risks related to all interested parties.</w:t>
      </w:r>
    </w:p>
    <w:p w14:paraId="3B07DF2F" w14:textId="77777777" w:rsidR="00341926" w:rsidRPr="00C54BE4" w:rsidRDefault="00341926" w:rsidP="00341926">
      <w:pPr>
        <w:pStyle w:val="NoSpacing"/>
        <w:rPr>
          <w:sz w:val="22"/>
          <w:szCs w:val="22"/>
        </w:rPr>
      </w:pPr>
      <w:r w:rsidRPr="00C54BE4">
        <w:rPr>
          <w:sz w:val="22"/>
          <w:szCs w:val="22"/>
        </w:rPr>
        <w:t xml:space="preserve"> </w:t>
      </w:r>
    </w:p>
    <w:p w14:paraId="3809EAD6" w14:textId="77777777" w:rsidR="00341926" w:rsidRDefault="00341926" w:rsidP="00341926">
      <w:pPr>
        <w:pStyle w:val="NoSpacing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52B31">
        <w:rPr>
          <w:sz w:val="22"/>
          <w:szCs w:val="22"/>
        </w:rPr>
        <w:t>Information Security P</w:t>
      </w:r>
      <w:r>
        <w:rPr>
          <w:sz w:val="22"/>
          <w:szCs w:val="22"/>
        </w:rPr>
        <w:t>olicy ensures</w:t>
      </w:r>
      <w:r w:rsidRPr="00145BA3">
        <w:rPr>
          <w:sz w:val="22"/>
          <w:szCs w:val="22"/>
        </w:rPr>
        <w:t>:</w:t>
      </w:r>
    </w:p>
    <w:p w14:paraId="6F82E8A2" w14:textId="77777777" w:rsidR="00341926" w:rsidRPr="00145BA3" w:rsidRDefault="00341926" w:rsidP="00341926">
      <w:pPr>
        <w:pStyle w:val="NoSpacing"/>
        <w:jc w:val="left"/>
        <w:rPr>
          <w:sz w:val="22"/>
          <w:szCs w:val="22"/>
        </w:rPr>
      </w:pPr>
    </w:p>
    <w:p w14:paraId="0C238757" w14:textId="324FC74A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Sensitive i</w:t>
      </w:r>
      <w:r w:rsidRPr="00145BA3">
        <w:rPr>
          <w:rFonts w:cs="Arial"/>
          <w:sz w:val="22"/>
          <w:szCs w:val="22"/>
        </w:rPr>
        <w:t>nformation will be protected against unauthorised access</w:t>
      </w:r>
      <w:r w:rsidR="00872E26">
        <w:rPr>
          <w:rFonts w:cs="Arial"/>
          <w:sz w:val="22"/>
          <w:szCs w:val="22"/>
        </w:rPr>
        <w:t>.</w:t>
      </w:r>
    </w:p>
    <w:p w14:paraId="4A0BCB14" w14:textId="399D20D3" w:rsidR="00341926" w:rsidRPr="00145BA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 xml:space="preserve">Confidentiality of </w:t>
      </w:r>
      <w:r>
        <w:rPr>
          <w:rFonts w:cs="Arial"/>
          <w:sz w:val="22"/>
          <w:szCs w:val="22"/>
        </w:rPr>
        <w:t xml:space="preserve">corporate and customer </w:t>
      </w:r>
      <w:r w:rsidRPr="00145BA3">
        <w:rPr>
          <w:rFonts w:cs="Arial"/>
          <w:sz w:val="22"/>
          <w:szCs w:val="22"/>
        </w:rPr>
        <w:t>information will be assured</w:t>
      </w:r>
      <w:r w:rsidR="00872E26">
        <w:rPr>
          <w:rFonts w:cs="Arial"/>
          <w:sz w:val="22"/>
          <w:szCs w:val="22"/>
        </w:rPr>
        <w:t>.</w:t>
      </w:r>
    </w:p>
    <w:p w14:paraId="417A9A21" w14:textId="5C01084E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 xml:space="preserve">Integrity </w:t>
      </w:r>
      <w:r w:rsidR="00EF2249">
        <w:rPr>
          <w:rFonts w:cs="Arial"/>
          <w:sz w:val="22"/>
          <w:szCs w:val="22"/>
        </w:rPr>
        <w:t xml:space="preserve">and availability </w:t>
      </w:r>
      <w:r w:rsidRPr="00145BA3">
        <w:rPr>
          <w:rFonts w:cs="Arial"/>
          <w:sz w:val="22"/>
          <w:szCs w:val="22"/>
        </w:rPr>
        <w:t>of information will be maintained</w:t>
      </w:r>
      <w:r w:rsidR="00872E26">
        <w:rPr>
          <w:rFonts w:cs="Arial"/>
          <w:sz w:val="22"/>
          <w:szCs w:val="22"/>
        </w:rPr>
        <w:t>.</w:t>
      </w:r>
    </w:p>
    <w:p w14:paraId="1777B1FE" w14:textId="351E47DD" w:rsidR="00EF2249" w:rsidRPr="00EF2249" w:rsidRDefault="00EF2249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Security objectives will be implemented</w:t>
      </w:r>
      <w:r w:rsidR="00872E26">
        <w:rPr>
          <w:rFonts w:cs="Arial"/>
          <w:sz w:val="22"/>
          <w:szCs w:val="22"/>
        </w:rPr>
        <w:t>.</w:t>
      </w:r>
    </w:p>
    <w:p w14:paraId="65F4141E" w14:textId="65B7B5DC" w:rsidR="00341926" w:rsidRPr="00145BA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>Legislative and regulatory requirements will be met</w:t>
      </w:r>
      <w:r w:rsidR="00872E26">
        <w:rPr>
          <w:rFonts w:cs="Arial"/>
          <w:sz w:val="22"/>
          <w:szCs w:val="22"/>
        </w:rPr>
        <w:t>.</w:t>
      </w:r>
    </w:p>
    <w:p w14:paraId="5FB4C19A" w14:textId="53C8AB30" w:rsidR="00341926" w:rsidRPr="00145BA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>Business Continuity plans will be developed, maintained and tested</w:t>
      </w:r>
      <w:r w:rsidR="00872E26">
        <w:rPr>
          <w:rFonts w:cs="Arial"/>
          <w:sz w:val="22"/>
          <w:szCs w:val="22"/>
        </w:rPr>
        <w:t>.</w:t>
      </w:r>
    </w:p>
    <w:p w14:paraId="347410B4" w14:textId="545C2A5A" w:rsidR="00341926" w:rsidRPr="00145BA3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>Information Security training will be available for all employees</w:t>
      </w:r>
      <w:r w:rsidR="00872E26">
        <w:rPr>
          <w:rFonts w:cs="Arial"/>
          <w:sz w:val="22"/>
          <w:szCs w:val="22"/>
        </w:rPr>
        <w:t>.</w:t>
      </w:r>
    </w:p>
    <w:p w14:paraId="63B1A879" w14:textId="6ED19755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>All actual or suspected</w:t>
      </w:r>
      <w:r w:rsidR="00EF2249">
        <w:rPr>
          <w:rFonts w:cs="Arial"/>
          <w:sz w:val="22"/>
          <w:szCs w:val="22"/>
        </w:rPr>
        <w:t xml:space="preserve"> information security events or</w:t>
      </w:r>
      <w:r w:rsidRPr="00145BA3">
        <w:rPr>
          <w:rFonts w:cs="Arial"/>
          <w:sz w:val="22"/>
          <w:szCs w:val="22"/>
        </w:rPr>
        <w:t xml:space="preserve"> incidents</w:t>
      </w:r>
      <w:r w:rsidR="004D3BC1">
        <w:rPr>
          <w:rFonts w:cs="Arial"/>
          <w:sz w:val="22"/>
          <w:szCs w:val="22"/>
        </w:rPr>
        <w:t xml:space="preserve"> will be reported, </w:t>
      </w:r>
      <w:r w:rsidRPr="00145BA3">
        <w:rPr>
          <w:rFonts w:cs="Arial"/>
          <w:sz w:val="22"/>
          <w:szCs w:val="22"/>
        </w:rPr>
        <w:t>thoroughly investigated</w:t>
      </w:r>
      <w:r w:rsidR="004D3BC1">
        <w:rPr>
          <w:rFonts w:cs="Arial"/>
          <w:sz w:val="22"/>
          <w:szCs w:val="22"/>
        </w:rPr>
        <w:t xml:space="preserve"> and opportunities for improvement identified and acted upon</w:t>
      </w:r>
      <w:r w:rsidR="00872E26">
        <w:rPr>
          <w:rFonts w:cs="Arial"/>
          <w:sz w:val="22"/>
          <w:szCs w:val="22"/>
        </w:rPr>
        <w:t>.</w:t>
      </w:r>
    </w:p>
    <w:p w14:paraId="3199170E" w14:textId="79A79382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5A7DC0">
        <w:rPr>
          <w:rFonts w:cs="Arial"/>
          <w:sz w:val="22"/>
          <w:szCs w:val="22"/>
        </w:rPr>
        <w:t xml:space="preserve"> </w:t>
      </w:r>
      <w:r w:rsidR="007D733C">
        <w:rPr>
          <w:rFonts w:cs="Arial"/>
          <w:sz w:val="22"/>
          <w:szCs w:val="22"/>
        </w:rPr>
        <w:t>Governance, Risk and Compliance</w:t>
      </w:r>
      <w:r w:rsidR="005A7DC0">
        <w:rPr>
          <w:rFonts w:cs="Arial"/>
          <w:sz w:val="22"/>
          <w:szCs w:val="22"/>
        </w:rPr>
        <w:t xml:space="preserve"> Committee</w:t>
      </w:r>
      <w:r w:rsidR="00FF15B5">
        <w:rPr>
          <w:rFonts w:cs="Arial"/>
          <w:sz w:val="22"/>
          <w:szCs w:val="22"/>
        </w:rPr>
        <w:t xml:space="preserve"> will </w:t>
      </w:r>
      <w:r>
        <w:rPr>
          <w:rFonts w:cs="Arial"/>
          <w:sz w:val="22"/>
          <w:szCs w:val="22"/>
        </w:rPr>
        <w:t>meet regularly to review and approve the Information Security Management System</w:t>
      </w:r>
      <w:r w:rsidR="00872E26">
        <w:rPr>
          <w:rFonts w:cs="Arial"/>
          <w:sz w:val="22"/>
          <w:szCs w:val="22"/>
        </w:rPr>
        <w:t>.</w:t>
      </w:r>
    </w:p>
    <w:p w14:paraId="5916398B" w14:textId="77777777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Compliance with the requirements of ISO 27001:2013</w:t>
      </w:r>
    </w:p>
    <w:p w14:paraId="44AA71F2" w14:textId="2CD2D757" w:rsidR="00341926" w:rsidRDefault="00341926" w:rsidP="00341926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Availability of this policy statement to all interested parties</w:t>
      </w:r>
      <w:r w:rsidR="00EF2249">
        <w:rPr>
          <w:rFonts w:cs="Arial"/>
          <w:sz w:val="22"/>
          <w:szCs w:val="22"/>
        </w:rPr>
        <w:t>; internally and externally</w:t>
      </w:r>
      <w:r w:rsidR="00872E26">
        <w:rPr>
          <w:rFonts w:cs="Arial"/>
          <w:sz w:val="22"/>
          <w:szCs w:val="22"/>
        </w:rPr>
        <w:t>.</w:t>
      </w:r>
    </w:p>
    <w:p w14:paraId="59E232B2" w14:textId="77777777" w:rsidR="00341926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55BFB213" w14:textId="77777777" w:rsidR="00341926" w:rsidRPr="004752B3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361F73D2" w14:textId="77777777" w:rsidR="00341926" w:rsidRPr="004752B3" w:rsidRDefault="00341926" w:rsidP="00F6410A">
      <w:pPr>
        <w:pStyle w:val="NoSpacing"/>
        <w:jc w:val="left"/>
        <w:rPr>
          <w:rFonts w:cs="Arial"/>
          <w:b/>
          <w:sz w:val="22"/>
          <w:szCs w:val="22"/>
        </w:rPr>
      </w:pPr>
      <w:r w:rsidRPr="004752B3">
        <w:rPr>
          <w:b/>
          <w:sz w:val="22"/>
          <w:szCs w:val="22"/>
        </w:rPr>
        <w:t>Responsibilities</w:t>
      </w:r>
    </w:p>
    <w:p w14:paraId="6FAB0EDC" w14:textId="77777777" w:rsidR="00341926" w:rsidRPr="00145BA3" w:rsidRDefault="00341926" w:rsidP="00341926">
      <w:pPr>
        <w:pStyle w:val="NoSpacing"/>
        <w:jc w:val="left"/>
        <w:rPr>
          <w:rFonts w:cs="Arial"/>
          <w:sz w:val="22"/>
          <w:szCs w:val="22"/>
        </w:rPr>
      </w:pPr>
    </w:p>
    <w:p w14:paraId="10660A62" w14:textId="69EA0848" w:rsidR="00341926" w:rsidRPr="00850292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AA30D8">
        <w:rPr>
          <w:rFonts w:cs="Arial"/>
          <w:sz w:val="22"/>
          <w:szCs w:val="22"/>
        </w:rPr>
        <w:t>Compliance with the Information Security Policy is mandatory</w:t>
      </w:r>
      <w:r>
        <w:rPr>
          <w:rFonts w:cs="Arial"/>
          <w:sz w:val="22"/>
          <w:szCs w:val="22"/>
        </w:rPr>
        <w:t xml:space="preserve"> for all Manx Telecom</w:t>
      </w:r>
      <w:r w:rsidR="004C43F0">
        <w:rPr>
          <w:rFonts w:cs="Arial"/>
          <w:sz w:val="22"/>
          <w:szCs w:val="22"/>
        </w:rPr>
        <w:t xml:space="preserve"> Trading Limited</w:t>
      </w:r>
      <w:r>
        <w:rPr>
          <w:rFonts w:cs="Arial"/>
          <w:sz w:val="22"/>
          <w:szCs w:val="22"/>
        </w:rPr>
        <w:t xml:space="preserve"> </w:t>
      </w:r>
      <w:r w:rsidR="00E41DB0">
        <w:rPr>
          <w:rFonts w:cs="Arial"/>
          <w:sz w:val="22"/>
          <w:szCs w:val="22"/>
        </w:rPr>
        <w:t>employees</w:t>
      </w:r>
      <w:r>
        <w:rPr>
          <w:rFonts w:cs="Arial"/>
          <w:sz w:val="22"/>
          <w:szCs w:val="22"/>
        </w:rPr>
        <w:t xml:space="preserve"> and </w:t>
      </w:r>
      <w:r w:rsidR="00E41DB0">
        <w:rPr>
          <w:rFonts w:cs="Arial"/>
          <w:sz w:val="22"/>
          <w:szCs w:val="22"/>
        </w:rPr>
        <w:t>third-party</w:t>
      </w:r>
      <w:r>
        <w:rPr>
          <w:rFonts w:cs="Arial"/>
          <w:sz w:val="22"/>
          <w:szCs w:val="22"/>
        </w:rPr>
        <w:t xml:space="preserve"> contractors</w:t>
      </w:r>
      <w:r w:rsidR="00872E26">
        <w:rPr>
          <w:rFonts w:cs="Arial"/>
          <w:sz w:val="22"/>
          <w:szCs w:val="22"/>
        </w:rPr>
        <w:t>.</w:t>
      </w:r>
    </w:p>
    <w:p w14:paraId="35A8F9D7" w14:textId="1926F919" w:rsidR="00341926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145BA3">
        <w:rPr>
          <w:rFonts w:cs="Arial"/>
          <w:sz w:val="22"/>
          <w:szCs w:val="22"/>
        </w:rPr>
        <w:t xml:space="preserve">The </w:t>
      </w:r>
      <w:r w:rsidR="00872E26">
        <w:rPr>
          <w:rFonts w:cs="Arial"/>
          <w:sz w:val="22"/>
          <w:szCs w:val="22"/>
        </w:rPr>
        <w:t xml:space="preserve">Security Operations team are </w:t>
      </w:r>
      <w:r w:rsidRPr="00145BA3">
        <w:rPr>
          <w:rFonts w:cs="Arial"/>
          <w:sz w:val="22"/>
          <w:szCs w:val="22"/>
        </w:rPr>
        <w:t>responsible for mai</w:t>
      </w:r>
      <w:r>
        <w:rPr>
          <w:rFonts w:cs="Arial"/>
          <w:sz w:val="22"/>
          <w:szCs w:val="22"/>
        </w:rPr>
        <w:t xml:space="preserve">ntaining the policy with support from the </w:t>
      </w:r>
      <w:r w:rsidR="007D733C">
        <w:rPr>
          <w:rFonts w:cs="Arial"/>
          <w:sz w:val="22"/>
          <w:szCs w:val="22"/>
        </w:rPr>
        <w:t xml:space="preserve">Governance, Risk and Compliance </w:t>
      </w:r>
      <w:r w:rsidR="00E41DB0">
        <w:rPr>
          <w:rFonts w:cs="Arial"/>
          <w:sz w:val="22"/>
          <w:szCs w:val="22"/>
        </w:rPr>
        <w:t>Committee</w:t>
      </w:r>
      <w:r w:rsidR="00872E26">
        <w:rPr>
          <w:rFonts w:cs="Arial"/>
          <w:sz w:val="22"/>
          <w:szCs w:val="22"/>
        </w:rPr>
        <w:t>.</w:t>
      </w:r>
    </w:p>
    <w:p w14:paraId="2E857556" w14:textId="48BF26CE" w:rsidR="00341926" w:rsidRDefault="00341926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CEO is responsible for approving the </w:t>
      </w:r>
      <w:r w:rsidR="00520D37">
        <w:rPr>
          <w:rFonts w:cs="Arial"/>
          <w:sz w:val="22"/>
          <w:szCs w:val="22"/>
        </w:rPr>
        <w:t>policy.</w:t>
      </w:r>
    </w:p>
    <w:p w14:paraId="50F341FA" w14:textId="072EF161" w:rsidR="00341926" w:rsidRPr="00145BA3" w:rsidRDefault="00C11169" w:rsidP="00EF2249">
      <w:pPr>
        <w:pStyle w:val="NoSpacing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Policy must be reviewed annually or sooner if there are any significant changes to ensure it remains suitable, adequate and effective</w:t>
      </w:r>
      <w:r w:rsidR="00872E26">
        <w:rPr>
          <w:rFonts w:cs="Arial"/>
          <w:sz w:val="22"/>
          <w:szCs w:val="22"/>
        </w:rPr>
        <w:t>.</w:t>
      </w:r>
    </w:p>
    <w:p w14:paraId="1F36F694" w14:textId="77777777" w:rsidR="00341926" w:rsidRPr="00AA30D8" w:rsidRDefault="00341926" w:rsidP="00EF2249">
      <w:pPr>
        <w:pStyle w:val="NoSpacing"/>
        <w:jc w:val="left"/>
      </w:pPr>
    </w:p>
    <w:p w14:paraId="1A9E4EAE" w14:textId="46C35776" w:rsidR="00341926" w:rsidRPr="00EF2249" w:rsidRDefault="00341926" w:rsidP="00EF2249">
      <w:pPr>
        <w:pStyle w:val="NoSpacing"/>
        <w:jc w:val="left"/>
        <w:rPr>
          <w:sz w:val="22"/>
          <w:szCs w:val="22"/>
        </w:rPr>
      </w:pPr>
      <w:r w:rsidRPr="00EF2249">
        <w:rPr>
          <w:sz w:val="22"/>
          <w:szCs w:val="22"/>
        </w:rPr>
        <w:t xml:space="preserve">This policy applies </w:t>
      </w:r>
      <w:r w:rsidR="003A7968">
        <w:rPr>
          <w:sz w:val="22"/>
          <w:szCs w:val="22"/>
        </w:rPr>
        <w:t xml:space="preserve">to </w:t>
      </w:r>
      <w:r w:rsidRPr="00EF2249">
        <w:rPr>
          <w:sz w:val="22"/>
          <w:szCs w:val="22"/>
        </w:rPr>
        <w:t xml:space="preserve">all Manx Telecom </w:t>
      </w:r>
      <w:r w:rsidR="004C43F0">
        <w:rPr>
          <w:sz w:val="22"/>
          <w:szCs w:val="22"/>
        </w:rPr>
        <w:t>Trading Limited</w:t>
      </w:r>
      <w:r w:rsidR="00551BFF">
        <w:rPr>
          <w:sz w:val="22"/>
          <w:szCs w:val="22"/>
        </w:rPr>
        <w:t xml:space="preserve"> </w:t>
      </w:r>
      <w:r w:rsidRPr="00EF2249">
        <w:rPr>
          <w:sz w:val="22"/>
          <w:szCs w:val="22"/>
        </w:rPr>
        <w:t xml:space="preserve">procedures, projects, products, </w:t>
      </w:r>
      <w:r w:rsidR="004C43F0" w:rsidRPr="00EF2249">
        <w:rPr>
          <w:sz w:val="22"/>
          <w:szCs w:val="22"/>
        </w:rPr>
        <w:t>services,</w:t>
      </w:r>
      <w:r w:rsidRPr="00EF2249">
        <w:rPr>
          <w:sz w:val="22"/>
          <w:szCs w:val="22"/>
        </w:rPr>
        <w:t xml:space="preserve"> and infrastructure.  Security issues must be considered throughout the </w:t>
      </w:r>
      <w:r w:rsidR="00081FFA" w:rsidRPr="00EF2249">
        <w:rPr>
          <w:sz w:val="22"/>
          <w:szCs w:val="22"/>
        </w:rPr>
        <w:t>life cycle</w:t>
      </w:r>
      <w:r w:rsidRPr="00EF2249">
        <w:rPr>
          <w:sz w:val="22"/>
          <w:szCs w:val="22"/>
        </w:rPr>
        <w:t xml:space="preserve"> of a product or service from inception through to withdrawal.</w:t>
      </w:r>
    </w:p>
    <w:p w14:paraId="463D248E" w14:textId="77777777" w:rsidR="00341926" w:rsidRDefault="00341926" w:rsidP="00EF2249">
      <w:pPr>
        <w:pStyle w:val="NoSpacing"/>
        <w:rPr>
          <w:sz w:val="22"/>
          <w:szCs w:val="22"/>
        </w:rPr>
      </w:pPr>
    </w:p>
    <w:p w14:paraId="32B03008" w14:textId="77777777" w:rsidR="00EF2249" w:rsidRPr="00EF2249" w:rsidRDefault="00EF2249" w:rsidP="00EF2249">
      <w:pPr>
        <w:pStyle w:val="NoSpacing"/>
        <w:rPr>
          <w:sz w:val="22"/>
          <w:szCs w:val="22"/>
        </w:rPr>
      </w:pPr>
    </w:p>
    <w:p w14:paraId="2C2F7195" w14:textId="77777777" w:rsidR="00341926" w:rsidRPr="00EF2249" w:rsidRDefault="00341926" w:rsidP="00EF2249">
      <w:pPr>
        <w:pStyle w:val="NoSpacing"/>
        <w:rPr>
          <w:b/>
          <w:bCs/>
          <w:iCs/>
          <w:noProof/>
          <w:sz w:val="22"/>
          <w:szCs w:val="22"/>
          <w:lang w:val="fr-FR"/>
        </w:rPr>
      </w:pPr>
      <w:r w:rsidRPr="00EF2249">
        <w:rPr>
          <w:b/>
          <w:bCs/>
          <w:iCs/>
          <w:noProof/>
          <w:sz w:val="22"/>
          <w:szCs w:val="22"/>
          <w:lang w:val="fr-FR"/>
        </w:rPr>
        <w:t>Review and Approval</w:t>
      </w:r>
    </w:p>
    <w:p w14:paraId="33253054" w14:textId="77777777" w:rsidR="00341926" w:rsidRPr="00503583" w:rsidRDefault="00341926" w:rsidP="00341926">
      <w:pPr>
        <w:spacing w:before="0" w:after="0"/>
        <w:rPr>
          <w:rFonts w:cs="Arial"/>
          <w:b/>
          <w:bCs/>
          <w:iCs/>
          <w:noProof/>
          <w:sz w:val="22"/>
          <w:szCs w:val="22"/>
          <w:lang w:val="fr-FR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085"/>
        <w:gridCol w:w="2085"/>
        <w:gridCol w:w="2207"/>
      </w:tblGrid>
      <w:tr w:rsidR="00341926" w:rsidRPr="00503583" w14:paraId="71F88FE2" w14:textId="77777777" w:rsidTr="00D47B4D">
        <w:tc>
          <w:tcPr>
            <w:tcW w:w="995" w:type="dxa"/>
            <w:vAlign w:val="center"/>
          </w:tcPr>
          <w:p w14:paraId="34BBE022" w14:textId="77777777" w:rsidR="00341926" w:rsidRPr="00503583" w:rsidRDefault="00341926" w:rsidP="00D47B4D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Issue</w:t>
            </w:r>
          </w:p>
        </w:tc>
        <w:tc>
          <w:tcPr>
            <w:tcW w:w="2085" w:type="dxa"/>
            <w:vAlign w:val="center"/>
          </w:tcPr>
          <w:p w14:paraId="2692351F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2085" w:type="dxa"/>
            <w:vAlign w:val="center"/>
          </w:tcPr>
          <w:p w14:paraId="520CA5A6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Approved by</w:t>
            </w:r>
          </w:p>
        </w:tc>
        <w:tc>
          <w:tcPr>
            <w:tcW w:w="2207" w:type="dxa"/>
            <w:vAlign w:val="center"/>
          </w:tcPr>
          <w:p w14:paraId="4A3BC4C5" w14:textId="77777777" w:rsidR="00341926" w:rsidRPr="00503583" w:rsidRDefault="00341926" w:rsidP="00D47B4D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503583">
              <w:rPr>
                <w:rFonts w:cs="Arial"/>
                <w:b/>
                <w:sz w:val="22"/>
                <w:szCs w:val="22"/>
              </w:rPr>
              <w:t>Title</w:t>
            </w:r>
          </w:p>
        </w:tc>
      </w:tr>
      <w:tr w:rsidR="00341926" w:rsidRPr="00503583" w14:paraId="3DF2D3E3" w14:textId="77777777" w:rsidTr="00D47B4D">
        <w:trPr>
          <w:trHeight w:val="284"/>
        </w:trPr>
        <w:tc>
          <w:tcPr>
            <w:tcW w:w="995" w:type="dxa"/>
            <w:vAlign w:val="center"/>
          </w:tcPr>
          <w:p w14:paraId="67B4B488" w14:textId="0861DD16" w:rsidR="00341926" w:rsidRPr="00503583" w:rsidRDefault="00BC2AF5" w:rsidP="00D47B4D">
            <w:pPr>
              <w:pStyle w:val="NoSpacing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341926">
              <w:rPr>
                <w:rFonts w:cs="Arial"/>
                <w:sz w:val="22"/>
                <w:szCs w:val="22"/>
              </w:rPr>
              <w:t>.</w:t>
            </w:r>
            <w:r w:rsidR="004C43F0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085" w:type="dxa"/>
            <w:vAlign w:val="center"/>
          </w:tcPr>
          <w:p w14:paraId="1A7EA0BF" w14:textId="6FC583AF" w:rsidR="00341926" w:rsidRPr="00503583" w:rsidRDefault="004C43F0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13/12/2023</w:t>
            </w:r>
          </w:p>
        </w:tc>
        <w:tc>
          <w:tcPr>
            <w:tcW w:w="2085" w:type="dxa"/>
            <w:vAlign w:val="center"/>
          </w:tcPr>
          <w:p w14:paraId="06E982FA" w14:textId="77777777" w:rsidR="00341926" w:rsidRPr="00503583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Gary Lamb</w:t>
            </w:r>
          </w:p>
        </w:tc>
        <w:tc>
          <w:tcPr>
            <w:tcW w:w="2207" w:type="dxa"/>
            <w:vAlign w:val="center"/>
          </w:tcPr>
          <w:p w14:paraId="47525E27" w14:textId="77777777" w:rsidR="00341926" w:rsidRPr="00D60C8F" w:rsidRDefault="00341926" w:rsidP="00D47B4D">
            <w:pPr>
              <w:pStyle w:val="NoSpacing"/>
              <w:rPr>
                <w:rFonts w:cs="Arial"/>
                <w:sz w:val="22"/>
                <w:szCs w:val="22"/>
              </w:rPr>
            </w:pPr>
            <w:r w:rsidRPr="00D60C8F">
              <w:rPr>
                <w:rFonts w:cs="Arial"/>
                <w:sz w:val="22"/>
                <w:szCs w:val="22"/>
              </w:rPr>
              <w:t>CEO</w:t>
            </w:r>
          </w:p>
        </w:tc>
      </w:tr>
    </w:tbl>
    <w:p w14:paraId="27B77D83" w14:textId="77777777" w:rsidR="00365857" w:rsidRDefault="00365857" w:rsidP="005D39D7">
      <w:pPr>
        <w:rPr>
          <w:rFonts w:cs="Arial"/>
          <w:b/>
          <w:bCs/>
          <w:iCs/>
          <w:noProof/>
          <w:sz w:val="22"/>
          <w:szCs w:val="22"/>
          <w:lang w:val="fr-FR"/>
        </w:rPr>
      </w:pPr>
    </w:p>
    <w:p w14:paraId="78E27E72" w14:textId="21601264" w:rsidR="00EF25E6" w:rsidRDefault="00954B3E" w:rsidP="00954B3E">
      <w:pPr>
        <w:tabs>
          <w:tab w:val="left" w:pos="8235"/>
        </w:tabs>
        <w:spacing w:before="0" w:after="200" w:line="276" w:lineRule="auto"/>
        <w:jc w:val="left"/>
      </w:pPr>
      <w:r>
        <w:rPr>
          <w:rFonts w:cs="Arial"/>
          <w:b/>
          <w:bCs/>
          <w:iCs/>
          <w:noProof/>
          <w:sz w:val="22"/>
          <w:szCs w:val="22"/>
          <w:lang w:val="fr-FR"/>
        </w:rPr>
        <w:tab/>
      </w:r>
    </w:p>
    <w:sectPr w:rsidR="00EF25E6" w:rsidSect="00EF6A8D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32645" w14:textId="77777777" w:rsidR="004408BF" w:rsidRDefault="004408BF" w:rsidP="000828DE">
      <w:pPr>
        <w:spacing w:before="0" w:after="0"/>
      </w:pPr>
      <w:r>
        <w:separator/>
      </w:r>
    </w:p>
  </w:endnote>
  <w:endnote w:type="continuationSeparator" w:id="0">
    <w:p w14:paraId="36CF710D" w14:textId="77777777" w:rsidR="004408BF" w:rsidRDefault="004408BF" w:rsidP="000828DE">
      <w:pPr>
        <w:spacing w:before="0" w:after="0"/>
      </w:pPr>
      <w:r>
        <w:continuationSeparator/>
      </w:r>
    </w:p>
  </w:endnote>
  <w:endnote w:type="continuationNotice" w:id="1">
    <w:p w14:paraId="1E3450B7" w14:textId="77777777" w:rsidR="004408BF" w:rsidRDefault="004408B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52A6" w14:textId="40E820F5" w:rsidR="00D47B4D" w:rsidRPr="00341926" w:rsidRDefault="00CB7185" w:rsidP="00DE508D">
    <w:pPr>
      <w:pStyle w:val="Footer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07302" w:rsidRPr="00B07302">
      <w:rPr>
        <w:rFonts w:ascii="Arial" w:hAnsi="Arial" w:cs="Arial"/>
        <w:noProof/>
        <w:sz w:val="18"/>
        <w:szCs w:val="18"/>
      </w:rPr>
      <w:t xml:space="preserve">ISMS Policy </w:t>
    </w:r>
    <w:r w:rsidR="00B07302">
      <w:rPr>
        <w:noProof/>
      </w:rPr>
      <w:t>Notice Board Version</w:t>
    </w:r>
    <w:r>
      <w:rPr>
        <w:noProof/>
      </w:rPr>
      <w:fldChar w:fldCharType="end"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  <w:t xml:space="preserve">Page </w: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D47B4D" w:rsidRPr="0034192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736711">
      <w:rPr>
        <w:rStyle w:val="PageNumber"/>
        <w:rFonts w:ascii="Arial" w:hAnsi="Arial" w:cs="Arial"/>
        <w:noProof/>
        <w:sz w:val="18"/>
        <w:szCs w:val="18"/>
      </w:rPr>
      <w:t>3</w: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end"/>
    </w:r>
    <w:r w:rsidR="00D47B4D" w:rsidRPr="00341926">
      <w:rPr>
        <w:rStyle w:val="PageNumber"/>
        <w:rFonts w:ascii="Arial" w:hAnsi="Arial" w:cs="Arial"/>
        <w:sz w:val="18"/>
        <w:szCs w:val="18"/>
      </w:rPr>
      <w:t xml:space="preserve"> of </w: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begin"/>
    </w:r>
    <w:r w:rsidR="00D47B4D" w:rsidRPr="0034192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separate"/>
    </w:r>
    <w:r w:rsidR="00736711">
      <w:rPr>
        <w:rStyle w:val="PageNumber"/>
        <w:rFonts w:ascii="Arial" w:hAnsi="Arial" w:cs="Arial"/>
        <w:noProof/>
        <w:sz w:val="18"/>
        <w:szCs w:val="18"/>
      </w:rPr>
      <w:t>3</w:t>
    </w:r>
    <w:r w:rsidR="0057229A" w:rsidRPr="00341926">
      <w:rPr>
        <w:rStyle w:val="PageNumber"/>
        <w:rFonts w:ascii="Arial" w:hAnsi="Arial" w:cs="Arial"/>
        <w:sz w:val="18"/>
        <w:szCs w:val="18"/>
      </w:rPr>
      <w:fldChar w:fldCharType="end"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  <w:r w:rsidR="00D47B4D" w:rsidRPr="00341926">
      <w:rPr>
        <w:rFonts w:ascii="Arial" w:hAnsi="Arial" w:cs="Arial"/>
        <w:sz w:val="18"/>
        <w:szCs w:val="18"/>
      </w:rPr>
      <w:tab/>
    </w:r>
  </w:p>
  <w:p w14:paraId="465F7AB4" w14:textId="77777777" w:rsidR="00D47B4D" w:rsidRDefault="00D47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5045" w14:textId="77777777" w:rsidR="004408BF" w:rsidRDefault="004408BF" w:rsidP="000828DE">
      <w:pPr>
        <w:spacing w:before="0" w:after="0"/>
      </w:pPr>
      <w:r>
        <w:separator/>
      </w:r>
    </w:p>
  </w:footnote>
  <w:footnote w:type="continuationSeparator" w:id="0">
    <w:p w14:paraId="6262E470" w14:textId="77777777" w:rsidR="004408BF" w:rsidRDefault="004408BF" w:rsidP="000828DE">
      <w:pPr>
        <w:spacing w:before="0" w:after="0"/>
      </w:pPr>
      <w:r>
        <w:continuationSeparator/>
      </w:r>
    </w:p>
  </w:footnote>
  <w:footnote w:type="continuationNotice" w:id="1">
    <w:p w14:paraId="3906A96C" w14:textId="77777777" w:rsidR="004408BF" w:rsidRDefault="004408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A715" w14:textId="4B2D1E78" w:rsidR="00D47B4D" w:rsidRPr="00195A36" w:rsidRDefault="00D47B4D" w:rsidP="00DE508D">
    <w:pPr>
      <w:pStyle w:val="NoSpacing"/>
      <w:jc w:val="center"/>
      <w:rPr>
        <w:b/>
        <w:color w:val="00B050"/>
        <w:szCs w:val="18"/>
      </w:rPr>
    </w:pPr>
    <w:r w:rsidRPr="00195A36">
      <w:rPr>
        <w:b/>
        <w:noProof/>
        <w:color w:val="00B050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7565322" wp14:editId="35BFFD2B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766445" cy="554355"/>
          <wp:effectExtent l="1905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7DC0">
      <w:rPr>
        <w:b/>
        <w:noProof/>
        <w:color w:val="00B050"/>
        <w:szCs w:val="18"/>
        <w:lang w:eastAsia="en-GB"/>
      </w:rPr>
      <w:t xml:space="preserve">Manx </w:t>
    </w:r>
    <w:r w:rsidR="00954B3E">
      <w:rPr>
        <w:b/>
        <w:noProof/>
        <w:color w:val="00B050"/>
        <w:szCs w:val="18"/>
        <w:lang w:eastAsia="en-GB"/>
      </w:rPr>
      <w:t>T</w:t>
    </w:r>
    <w:r w:rsidR="005A7DC0">
      <w:rPr>
        <w:b/>
        <w:noProof/>
        <w:color w:val="00B050"/>
        <w:szCs w:val="18"/>
        <w:lang w:eastAsia="en-GB"/>
      </w:rPr>
      <w:t xml:space="preserve">elecom - </w:t>
    </w:r>
    <w:r w:rsidR="00195A36" w:rsidRPr="00195A36">
      <w:rPr>
        <w:b/>
        <w:noProof/>
        <w:color w:val="00B050"/>
        <w:szCs w:val="18"/>
        <w:lang w:eastAsia="en-GB"/>
      </w:rPr>
      <w:t>PUBLIC</w:t>
    </w:r>
  </w:p>
  <w:p w14:paraId="10A39AC3" w14:textId="362F67F9" w:rsidR="00904CED" w:rsidRDefault="00904CED" w:rsidP="00DE508D">
    <w:pPr>
      <w:pStyle w:val="NoSpacing"/>
      <w:jc w:val="right"/>
      <w:rPr>
        <w:sz w:val="18"/>
        <w:szCs w:val="18"/>
      </w:rPr>
    </w:pPr>
    <w:r w:rsidRPr="00904CED">
      <w:rPr>
        <w:sz w:val="18"/>
        <w:szCs w:val="18"/>
      </w:rPr>
      <w:t>MT/GRC/010</w:t>
    </w:r>
    <w:r w:rsidR="003B25AF">
      <w:rPr>
        <w:sz w:val="18"/>
        <w:szCs w:val="18"/>
      </w:rPr>
      <w:t>3</w:t>
    </w:r>
  </w:p>
  <w:p w14:paraId="7DC1C636" w14:textId="2C366886" w:rsidR="00D47B4D" w:rsidRPr="00283A6B" w:rsidRDefault="00D47B4D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 xml:space="preserve">Issue </w:t>
    </w:r>
    <w:r w:rsidR="005A7DC0">
      <w:rPr>
        <w:sz w:val="18"/>
        <w:szCs w:val="18"/>
      </w:rPr>
      <w:t>5</w:t>
    </w:r>
    <w:r>
      <w:rPr>
        <w:sz w:val="18"/>
        <w:szCs w:val="18"/>
      </w:rPr>
      <w:t>.</w:t>
    </w:r>
    <w:r w:rsidR="00F758E7">
      <w:rPr>
        <w:sz w:val="18"/>
        <w:szCs w:val="18"/>
      </w:rPr>
      <w:t>4</w:t>
    </w:r>
  </w:p>
  <w:p w14:paraId="0DDDF171" w14:textId="753413E2" w:rsidR="00D47B4D" w:rsidRPr="00283A6B" w:rsidRDefault="00F758E7" w:rsidP="00DE508D">
    <w:pPr>
      <w:pStyle w:val="NoSpacing"/>
      <w:jc w:val="right"/>
      <w:rPr>
        <w:sz w:val="18"/>
        <w:szCs w:val="18"/>
      </w:rPr>
    </w:pPr>
    <w:r>
      <w:rPr>
        <w:sz w:val="18"/>
        <w:szCs w:val="18"/>
      </w:rPr>
      <w:t>December</w:t>
    </w:r>
    <w:r w:rsidR="00132969">
      <w:rPr>
        <w:sz w:val="18"/>
        <w:szCs w:val="18"/>
      </w:rPr>
      <w:t xml:space="preserve"> 20</w:t>
    </w:r>
    <w:r w:rsidR="00EE4D71">
      <w:rPr>
        <w:sz w:val="18"/>
        <w:szCs w:val="18"/>
      </w:rPr>
      <w:t>2</w:t>
    </w:r>
    <w:r w:rsidR="002C29E8">
      <w:rPr>
        <w:sz w:val="18"/>
        <w:szCs w:val="18"/>
      </w:rPr>
      <w:t>3</w:t>
    </w:r>
  </w:p>
  <w:p w14:paraId="16843E37" w14:textId="4C35174F" w:rsidR="00D47B4D" w:rsidRDefault="00D47B4D" w:rsidP="00DE508D">
    <w:pPr>
      <w:pStyle w:val="NoSpacing"/>
      <w:jc w:val="center"/>
      <w:rPr>
        <w:sz w:val="18"/>
        <w:szCs w:val="18"/>
      </w:rPr>
    </w:pPr>
    <w:bookmarkStart w:id="0" w:name="_Hlk498255542"/>
    <w:r w:rsidRPr="00283A6B">
      <w:rPr>
        <w:sz w:val="18"/>
        <w:szCs w:val="18"/>
      </w:rPr>
      <w:t xml:space="preserve">Document Owner – </w:t>
    </w:r>
    <w:r w:rsidR="00CB2F79">
      <w:rPr>
        <w:sz w:val="18"/>
        <w:szCs w:val="18"/>
      </w:rPr>
      <w:t xml:space="preserve">Manx Telecom </w:t>
    </w:r>
    <w:r w:rsidR="00243A64">
      <w:rPr>
        <w:sz w:val="18"/>
        <w:szCs w:val="18"/>
      </w:rPr>
      <w:t>Trading Limited</w:t>
    </w:r>
    <w:r w:rsidR="00CB2F79">
      <w:rPr>
        <w:sz w:val="18"/>
        <w:szCs w:val="18"/>
      </w:rPr>
      <w:t xml:space="preserve"> Security Operations</w:t>
    </w:r>
  </w:p>
  <w:bookmarkEnd w:id="0"/>
  <w:p w14:paraId="6A53865D" w14:textId="77777777" w:rsidR="00D47B4D" w:rsidRPr="003D03E2" w:rsidRDefault="00D47B4D" w:rsidP="00DE508D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20E7"/>
    <w:multiLevelType w:val="hybridMultilevel"/>
    <w:tmpl w:val="0E703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57378"/>
    <w:multiLevelType w:val="hybridMultilevel"/>
    <w:tmpl w:val="36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71144"/>
    <w:multiLevelType w:val="hybridMultilevel"/>
    <w:tmpl w:val="08C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9C3"/>
    <w:multiLevelType w:val="hybridMultilevel"/>
    <w:tmpl w:val="0E7C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42B8"/>
    <w:multiLevelType w:val="hybridMultilevel"/>
    <w:tmpl w:val="927AF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76D03"/>
    <w:multiLevelType w:val="hybridMultilevel"/>
    <w:tmpl w:val="B216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2333"/>
    <w:multiLevelType w:val="hybridMultilevel"/>
    <w:tmpl w:val="2D4E6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1108"/>
    <w:multiLevelType w:val="multilevel"/>
    <w:tmpl w:val="34620022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/>
      </w:rPr>
    </w:lvl>
  </w:abstractNum>
  <w:abstractNum w:abstractNumId="8" w15:restartNumberingAfterBreak="0">
    <w:nsid w:val="60DA5F36"/>
    <w:multiLevelType w:val="hybridMultilevel"/>
    <w:tmpl w:val="B712B7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029E4"/>
    <w:multiLevelType w:val="hybridMultilevel"/>
    <w:tmpl w:val="AFF6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123D"/>
    <w:multiLevelType w:val="hybridMultilevel"/>
    <w:tmpl w:val="A6D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800187">
    <w:abstractNumId w:val="7"/>
  </w:num>
  <w:num w:numId="2" w16cid:durableId="1856184882">
    <w:abstractNumId w:val="4"/>
  </w:num>
  <w:num w:numId="3" w16cid:durableId="2096318745">
    <w:abstractNumId w:val="1"/>
  </w:num>
  <w:num w:numId="4" w16cid:durableId="2062246058">
    <w:abstractNumId w:val="6"/>
  </w:num>
  <w:num w:numId="5" w16cid:durableId="125396325">
    <w:abstractNumId w:val="8"/>
  </w:num>
  <w:num w:numId="6" w16cid:durableId="1911886009">
    <w:abstractNumId w:val="9"/>
  </w:num>
  <w:num w:numId="7" w16cid:durableId="1601520855">
    <w:abstractNumId w:val="2"/>
  </w:num>
  <w:num w:numId="8" w16cid:durableId="997656484">
    <w:abstractNumId w:val="10"/>
  </w:num>
  <w:num w:numId="9" w16cid:durableId="1764061329">
    <w:abstractNumId w:val="5"/>
  </w:num>
  <w:num w:numId="10" w16cid:durableId="998116483">
    <w:abstractNumId w:val="0"/>
  </w:num>
  <w:num w:numId="11" w16cid:durableId="1722292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D6"/>
    <w:rsid w:val="00001AAB"/>
    <w:rsid w:val="00033CDC"/>
    <w:rsid w:val="00081FFA"/>
    <w:rsid w:val="000828DE"/>
    <w:rsid w:val="000C498C"/>
    <w:rsid w:val="000C7E2E"/>
    <w:rsid w:val="000D47E8"/>
    <w:rsid w:val="00132969"/>
    <w:rsid w:val="00167993"/>
    <w:rsid w:val="00175C22"/>
    <w:rsid w:val="00177823"/>
    <w:rsid w:val="00195A36"/>
    <w:rsid w:val="001A38BB"/>
    <w:rsid w:val="001A6020"/>
    <w:rsid w:val="00243A64"/>
    <w:rsid w:val="00253482"/>
    <w:rsid w:val="002558F0"/>
    <w:rsid w:val="002C29E8"/>
    <w:rsid w:val="003311A3"/>
    <w:rsid w:val="00334BCD"/>
    <w:rsid w:val="00341926"/>
    <w:rsid w:val="00365857"/>
    <w:rsid w:val="00374E7F"/>
    <w:rsid w:val="00395798"/>
    <w:rsid w:val="003A7968"/>
    <w:rsid w:val="003B25AF"/>
    <w:rsid w:val="003C478C"/>
    <w:rsid w:val="004408BF"/>
    <w:rsid w:val="004C43F0"/>
    <w:rsid w:val="004C535D"/>
    <w:rsid w:val="004D3BC1"/>
    <w:rsid w:val="00520D37"/>
    <w:rsid w:val="00527510"/>
    <w:rsid w:val="00551BFF"/>
    <w:rsid w:val="0057229A"/>
    <w:rsid w:val="005A7DC0"/>
    <w:rsid w:val="005B6DE5"/>
    <w:rsid w:val="005D39D7"/>
    <w:rsid w:val="005E652A"/>
    <w:rsid w:val="00601122"/>
    <w:rsid w:val="00652B31"/>
    <w:rsid w:val="006A25C6"/>
    <w:rsid w:val="00707761"/>
    <w:rsid w:val="0072643D"/>
    <w:rsid w:val="00736711"/>
    <w:rsid w:val="007803F2"/>
    <w:rsid w:val="00796D41"/>
    <w:rsid w:val="007D733C"/>
    <w:rsid w:val="00872E26"/>
    <w:rsid w:val="00897561"/>
    <w:rsid w:val="008C12C7"/>
    <w:rsid w:val="00904CED"/>
    <w:rsid w:val="009070CB"/>
    <w:rsid w:val="00916612"/>
    <w:rsid w:val="0094546C"/>
    <w:rsid w:val="00954B3E"/>
    <w:rsid w:val="00A3282D"/>
    <w:rsid w:val="00A45A7E"/>
    <w:rsid w:val="00A701F1"/>
    <w:rsid w:val="00AE1083"/>
    <w:rsid w:val="00AE37D6"/>
    <w:rsid w:val="00B07302"/>
    <w:rsid w:val="00B21744"/>
    <w:rsid w:val="00B46318"/>
    <w:rsid w:val="00B70E50"/>
    <w:rsid w:val="00BC2AF5"/>
    <w:rsid w:val="00C11169"/>
    <w:rsid w:val="00C67174"/>
    <w:rsid w:val="00C671A5"/>
    <w:rsid w:val="00C92A7E"/>
    <w:rsid w:val="00CA0F68"/>
    <w:rsid w:val="00CB2F79"/>
    <w:rsid w:val="00CB7185"/>
    <w:rsid w:val="00CC6DFC"/>
    <w:rsid w:val="00D238BA"/>
    <w:rsid w:val="00D24F2A"/>
    <w:rsid w:val="00D47B4D"/>
    <w:rsid w:val="00DE3D73"/>
    <w:rsid w:val="00DE508D"/>
    <w:rsid w:val="00DF0032"/>
    <w:rsid w:val="00E41DB0"/>
    <w:rsid w:val="00E634EA"/>
    <w:rsid w:val="00E7634D"/>
    <w:rsid w:val="00EB5FF6"/>
    <w:rsid w:val="00EE4D71"/>
    <w:rsid w:val="00EE60C4"/>
    <w:rsid w:val="00EF2249"/>
    <w:rsid w:val="00EF25E6"/>
    <w:rsid w:val="00EF6A8D"/>
    <w:rsid w:val="00F6410A"/>
    <w:rsid w:val="00F73612"/>
    <w:rsid w:val="00F758E7"/>
    <w:rsid w:val="00FA6124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F1CE3E"/>
  <w15:docId w15:val="{61BBE67B-B3AE-47E4-8F62-87FD9217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D6"/>
    <w:pPr>
      <w:spacing w:before="120" w:after="6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7D6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7D6"/>
    <w:pPr>
      <w:keepNext/>
      <w:keepLines/>
      <w:numPr>
        <w:ilvl w:val="1"/>
        <w:numId w:val="1"/>
      </w:numPr>
      <w:tabs>
        <w:tab w:val="num" w:pos="567"/>
      </w:tabs>
      <w:spacing w:before="200" w:after="0"/>
      <w:ind w:left="1143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7D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37D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37D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37D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37D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37D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37D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3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E37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E37D6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E37D6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E37D6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E37D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AE37D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E37D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aliases w:val="h"/>
    <w:basedOn w:val="Normal"/>
    <w:link w:val="Head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HeaderChar">
    <w:name w:val="Header Char"/>
    <w:aliases w:val="h Char"/>
    <w:basedOn w:val="DefaultParagraphFont"/>
    <w:link w:val="Header"/>
    <w:rsid w:val="00AE37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AE37D6"/>
    <w:pPr>
      <w:tabs>
        <w:tab w:val="center" w:pos="4513"/>
        <w:tab w:val="right" w:pos="9026"/>
      </w:tabs>
      <w:spacing w:before="0" w:after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E37D6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AE37D6"/>
    <w:pPr>
      <w:spacing w:after="100"/>
    </w:pPr>
  </w:style>
  <w:style w:type="character" w:styleId="Hyperlink">
    <w:name w:val="Hyperlink"/>
    <w:basedOn w:val="DefaultParagraphFont"/>
    <w:uiPriority w:val="99"/>
    <w:rsid w:val="00AE37D6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E37D6"/>
    <w:pPr>
      <w:ind w:left="200"/>
    </w:pPr>
  </w:style>
  <w:style w:type="paragraph" w:styleId="NoSpacing">
    <w:name w:val="No Spacing"/>
    <w:uiPriority w:val="1"/>
    <w:qFormat/>
    <w:rsid w:val="00AE37D6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D6"/>
    <w:rPr>
      <w:rFonts w:ascii="Tahoma" w:eastAsia="Times New Roman" w:hAnsi="Tahoma" w:cs="Tahoma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DE508D"/>
    <w:pPr>
      <w:spacing w:before="0" w:after="0"/>
      <w:ind w:left="2160"/>
      <w:jc w:val="left"/>
    </w:pPr>
    <w:rPr>
      <w:rFonts w:ascii="Times New Roman" w:hAnsi="Times New Roman"/>
      <w:noProof/>
      <w:color w:val="auto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508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PageNumber">
    <w:name w:val="page number"/>
    <w:basedOn w:val="DefaultParagraphFont"/>
    <w:rsid w:val="00033CDC"/>
  </w:style>
  <w:style w:type="paragraph" w:styleId="ListParagraph">
    <w:name w:val="List Paragraph"/>
    <w:basedOn w:val="Normal"/>
    <w:uiPriority w:val="34"/>
    <w:qFormat/>
    <w:rsid w:val="00033CDC"/>
    <w:pPr>
      <w:ind w:left="720"/>
      <w:contextualSpacing/>
    </w:pPr>
  </w:style>
  <w:style w:type="table" w:styleId="TableGrid">
    <w:name w:val="Table Grid"/>
    <w:basedOn w:val="TableNormal"/>
    <w:uiPriority w:val="59"/>
    <w:rsid w:val="00D2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Policy_x0020_Owner xmlns="6a8bad43-c73d-4e80-974e-24d81727ff3a">Security Operations</Policy_x0020_Owner>
    <Document_x0020_Ref xmlns="6a8bad43-c73d-4e80-974e-24d81727ff3a">MT/GRC/0103</Document_x0020_Ref>
    <Policy_x0020_Category xmlns="6a8bad43-c73d-4e80-974e-24d81727ff3a">Security and Privacy</Policy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T ISO Management Document" ma:contentTypeID="0x0101003930BADF1F261945B55EB06067495EC30839009E24C0CE6A140E40A66B065E95B11BDB" ma:contentTypeVersion="3" ma:contentTypeDescription="" ma:contentTypeScope="" ma:versionID="17168848d97ecee69a143c14ee076c97">
  <xsd:schema xmlns:xsd="http://www.w3.org/2001/XMLSchema" xmlns:xs="http://www.w3.org/2001/XMLSchema" xmlns:p="http://schemas.microsoft.com/office/2006/metadata/properties" xmlns:ns1="http://schemas.microsoft.com/sharepoint/v3" xmlns:ns2="6a8bad43-c73d-4e80-974e-24d81727ff3a" targetNamespace="http://schemas.microsoft.com/office/2006/metadata/properties" ma:root="true" ma:fieldsID="91100598196e7a7178d95d76308c136e" ns1:_="" ns2:_="">
    <xsd:import namespace="http://schemas.microsoft.com/sharepoint/v3"/>
    <xsd:import namespace="6a8bad43-c73d-4e80-974e-24d81727ff3a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Document_x0020_Ref" minOccurs="0"/>
                <xsd:element ref="ns2:Policy_x0020_Category" minOccurs="0"/>
                <xsd:element ref="ns2:Policy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bad43-c73d-4e80-974e-24d81727ff3a" elementFormDefault="qualified">
    <xsd:import namespace="http://schemas.microsoft.com/office/2006/documentManagement/types"/>
    <xsd:import namespace="http://schemas.microsoft.com/office/infopath/2007/PartnerControls"/>
    <xsd:element name="Document_x0020_Ref" ma:index="9" nillable="true" ma:displayName="Document Ref" ma:internalName="Document_x0020_Ref">
      <xsd:simpleType>
        <xsd:restriction base="dms:Text">
          <xsd:maxLength value="255"/>
        </xsd:restriction>
      </xsd:simpleType>
    </xsd:element>
    <xsd:element name="Policy_x0020_Category" ma:index="10" nillable="true" ma:displayName="Policy Category" ma:format="Dropdown" ma:internalName="Policy_x0020_Category">
      <xsd:simpleType>
        <xsd:restriction base="dms:Choice">
          <xsd:enumeration value="Business Conduct"/>
          <xsd:enumeration value="Compliance"/>
          <xsd:enumeration value="Customer"/>
          <xsd:enumeration value="Delegated Authority"/>
          <xsd:enumeration value="Disaster and Recovery"/>
          <xsd:enumeration value="Legal"/>
          <xsd:enumeration value="People"/>
          <xsd:enumeration value="Security and Privacy"/>
          <xsd:enumeration value="Service Assurance"/>
          <xsd:enumeration value="Other"/>
        </xsd:restriction>
      </xsd:simpleType>
    </xsd:element>
    <xsd:element name="Policy_x0020_Owner" ma:index="11" nillable="true" ma:displayName="Policy Owner" ma:internalName="Policy_x0020_Own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6D7C-27C4-47C7-AB76-071B84C0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158A9-034B-4B9A-879D-D4C12092909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6a8bad43-c73d-4e80-974e-24d81727ff3a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94B3D4B-6379-4101-9C4E-07474B06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8bad43-c73d-4e80-974e-24d81727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9358E0-C124-4FAA-B918-7761BE40204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8A26588-59B6-41CA-9029-770A1CC1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ISMS Policy Statement</vt:lpstr>
    </vt:vector>
  </TitlesOfParts>
  <Company>Manx Telecom LTD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Notice Board Policy Statement</dc:title>
  <dc:creator>Gavin Quiggin</dc:creator>
  <cp:lastModifiedBy>Humphreys, David (Manx Telecom)</cp:lastModifiedBy>
  <cp:revision>18</cp:revision>
  <cp:lastPrinted>2023-01-11T09:18:00Z</cp:lastPrinted>
  <dcterms:created xsi:type="dcterms:W3CDTF">2021-09-16T13:38:00Z</dcterms:created>
  <dcterms:modified xsi:type="dcterms:W3CDTF">2023-12-13T15:31:00Z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0x0101003930BADF1F261945B55EB06067495EC30839009E24C0CE6A140E40A66B065E95B11BDB</vt:lpwstr>
  </property>
</Properties>
</file>